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Об утверждении Типового регламента работы согласительной комиссии</w:t>
        <w:br/>
      </w:r>
      <w:r>
        <w:rPr>
          <w:rFonts w:ascii="Times New Roman" w:hAnsi="Times New Roman"/>
          <w:sz w:val="28"/>
          <w:szCs w:val="28"/>
        </w:rPr>
        <w:t xml:space="preserve">по согласованию местоположения границ земельных участков при выполнении комплексных кадастровых работ</w:t>
      </w:r>
      <w:r>
        <w:rPr>
          <w:rFonts w:ascii="Times New Roman" w:hAnsi="Times New Roman"/>
          <w:sz w:val="28"/>
          <w:szCs w:val="28"/>
        </w:rPr>
        <w:t xml:space="preserve"> на территории Еврейской автономной области</w:t>
      </w:r>
      <w:r/>
    </w:p>
    <w:p>
      <w:pPr>
        <w:jc w:val="both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В соответствии с частью 5 статьи 42.10 Федерального закона</w:t>
        <w:br/>
        <w:t xml:space="preserve">от 24.07.2007 № 221-ФЗ «О государственном кадастре недвижимости»</w:t>
      </w:r>
      <w:r>
        <w:rPr>
          <w:rFonts w:ascii="Times New Roman" w:hAnsi="Times New Roman"/>
          <w:sz w:val="28"/>
          <w:szCs w:val="28"/>
        </w:rPr>
        <w:t xml:space="preserve"> правительство Еврейской автономной области</w:t>
      </w:r>
      <w:r/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pStyle w:val="741"/>
        <w:numPr>
          <w:ilvl w:val="0"/>
          <w:numId w:val="25"/>
        </w:numPr>
        <w:ind w:left="0" w:firstLine="709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Утвердить</w:t>
      </w:r>
      <w:r>
        <w:rPr>
          <w:rFonts w:ascii="Times New Roman" w:hAnsi="Times New Roman"/>
          <w:sz w:val="28"/>
          <w:szCs w:val="28"/>
        </w:rPr>
        <w:t xml:space="preserve"> прилагаемый </w:t>
      </w:r>
      <w:r>
        <w:rPr>
          <w:rFonts w:ascii="Times New Roman" w:hAnsi="Times New Roman"/>
          <w:sz w:val="28"/>
          <w:szCs w:val="28"/>
        </w:rPr>
        <w:t xml:space="preserve">Типовой регламент работы согласительной комиссии </w:t>
      </w:r>
      <w:r>
        <w:rPr>
          <w:rFonts w:ascii="Times New Roman" w:hAnsi="Times New Roman"/>
          <w:sz w:val="28"/>
          <w:szCs w:val="28"/>
        </w:rPr>
        <w:t xml:space="preserve">по согласованию местоположения границ земельных участков</w:t>
        <w:br/>
        <w:t xml:space="preserve">при выполнении комплексных кадастровых работ</w:t>
      </w:r>
      <w:r>
        <w:rPr>
          <w:rFonts w:ascii="Times New Roman" w:hAnsi="Times New Roman"/>
          <w:sz w:val="28"/>
          <w:szCs w:val="28"/>
        </w:rPr>
        <w:t xml:space="preserve"> 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="240" w:lineRule="auto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ab/>
        <w:t xml:space="preserve">Настоящее постано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вление вступает в силу со дня его официального опубликования.</w:t>
      </w:r>
      <w:r/>
    </w:p>
    <w:p>
      <w:pPr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sz w:val="28"/>
          <w:szCs w:val="28"/>
        </w:rPr>
        <w:tab/>
        <w:t xml:space="preserve"> Р.Э. Гольдштейн</w:t>
      </w:r>
      <w:r>
        <w:rPr>
          <w:rFonts w:ascii="Times New Roman" w:hAnsi="Times New Roman"/>
          <w:sz w:val="28"/>
          <w:szCs w:val="28"/>
        </w:rPr>
      </w:r>
    </w:p>
    <w:p>
      <w:pPr>
        <w:ind w:left="5528" w:right="0" w:firstLine="0"/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/>
      <w:r/>
    </w:p>
    <w:p>
      <w:pPr>
        <w:ind w:left="5528" w:right="0" w:firstLine="0"/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528" w:right="0" w:firstLine="0"/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Постановлением правительства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5528" w:right="0" w:firstLine="0"/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Еврейской автономной области</w:t>
        <w:br/>
      </w:r>
      <w:r>
        <w:rPr>
          <w:rFonts w:ascii="Times New Roman" w:hAnsi="Times New Roman"/>
          <w:sz w:val="28"/>
          <w:szCs w:val="28"/>
          <w:highlight w:val="none"/>
        </w:rPr>
        <w:t xml:space="preserve">от ____________ № 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5528" w:right="0" w:firstLine="0"/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5528" w:right="0" w:firstLine="0"/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иповой регламент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согласительной комиссии </w:t>
      </w:r>
      <w:r>
        <w:rPr>
          <w:rFonts w:ascii="Times New Roman" w:hAnsi="Times New Roman"/>
          <w:sz w:val="28"/>
          <w:szCs w:val="28"/>
        </w:rPr>
        <w:t xml:space="preserve">по согласованию местоположения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auto" w:fill="ffffff"/>
        <w:widowControl w:val="off"/>
        <w:tabs>
          <w:tab w:val="left" w:pos="7230" w:leader="none"/>
        </w:tabs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границ земельных участков при выполнении комплексных кадастровых работ</w:t>
      </w:r>
      <w:r>
        <w:rPr>
          <w:rFonts w:ascii="Times New Roman" w:hAnsi="Times New Roman"/>
          <w:sz w:val="28"/>
          <w:szCs w:val="28"/>
        </w:rPr>
        <w:t xml:space="preserve"> на территории Еврейской автономной области</w:t>
      </w:r>
      <w:r/>
      <w:r/>
    </w:p>
    <w:p>
      <w:pPr>
        <w:ind w:left="0" w:right="0" w:firstLine="0"/>
        <w:jc w:val="center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2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Типовой регламент работы согласительной комиссии</w:t>
        <w:br/>
        <w:t xml:space="preserve">по согласованию местоположения границ земельных участков </w:t>
        <w:br/>
        <w:t xml:space="preserve">при выполнении комплексных кадастровых работ на территории </w:t>
      </w:r>
      <w:r>
        <w:rPr>
          <w:rFonts w:ascii="Times New Roman" w:hAnsi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Типовой регламент) в соответствии</w:t>
        <w:br/>
        <w:t xml:space="preserve">со статьей 42.10 Федеральн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ого закона от 24.07.2007 № 221-ФЗ</w:t>
        <w:br/>
        <w:t xml:space="preserve">«О кадастровой деятельности» (далее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Федеральный закон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24.07.2007</w:t>
        <w:br/>
        <w:t xml:space="preserve">№ 221-ФЗ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определяет общие положения порядка работы согласительной комиссии по согласованию местоположения границ земельных участков</w:t>
        <w:br/>
        <w:t xml:space="preserve">при выполнении комплексных кадастровых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работ на территории </w:t>
      </w:r>
      <w:r>
        <w:rPr>
          <w:rFonts w:ascii="Times New Roman" w:hAnsi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область).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2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Согласительная комиссия является коллегиальным органом, формируемым органом местного самоуправления городского округа</w:t>
        <w:br/>
        <w:t xml:space="preserve">или поселения</w:t>
      </w:r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на территории которого выполняются комплексные кадастровые работы, либо органом местного самоуправлен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ия муниципального района </w:t>
      </w:r>
      <w:r>
        <w:rPr>
          <w:rFonts w:ascii="Times New Roman" w:hAnsi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если объекты комплексных кадастровых работ расположены на межселенной территории (далее – орган местного самоуправления области), в течение 20 рабочих дней со дня заключения контракта на выполнение комплексных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2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Материально-техническое и информационно-аналитическое обеспечение работы согласительной комиссии осуществляется органом местного самоуправления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2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Целью работы согласительной комиссии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согласно требованиям законодательства 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2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Согласительная комиссия в своей деятельности руководствуется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24.07.2007 № 221-ФЗ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нормативными правовыми актами Российской Федерации и области, регламентом работы согласительной комиссии, утверждаемым органом местного самоуправления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Типовым регламентом.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2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выполнения своей основной цели согласительная комиссия осуществ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ляет следующие полномочия: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41"/>
        <w:numPr>
          <w:ilvl w:val="0"/>
          <w:numId w:val="28"/>
        </w:numPr>
        <w:ind w:left="0" w:right="0" w:firstLine="709"/>
        <w:jc w:val="both"/>
        <w:shd w:val="clear" w:color="auto" w:fill="ffffff"/>
        <w:widowControl w:val="off"/>
        <w:tabs>
          <w:tab w:val="left" w:pos="992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рассматривает возражения заинтересованных лиц, указанных</w:t>
        <w:br/>
        <w:t xml:space="preserve">в части 3 статьи 39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24.07.2007 № 221-ФЗ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относительно местоположения границ земельных участков;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1"/>
        <w:numPr>
          <w:ilvl w:val="0"/>
          <w:numId w:val="28"/>
        </w:numPr>
        <w:ind w:left="0" w:right="0" w:firstLine="709"/>
        <w:jc w:val="both"/>
        <w:shd w:val="clear" w:color="auto" w:fill="ffffff"/>
        <w:widowControl w:val="off"/>
        <w:tabs>
          <w:tab w:val="left" w:pos="992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подготавливает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</w:t>
        <w:br/>
        <w:t xml:space="preserve">о нецелесообразности изменения проекта карты-плана территории в случае необосн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ованности таких возражений или о необходимости изменения исполнителем комплексных кадастровых работ карты-плана территории</w:t>
        <w:br/>
        <w:t xml:space="preserve">в соответствии с такими возражениями;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41"/>
        <w:numPr>
          <w:ilvl w:val="0"/>
          <w:numId w:val="28"/>
        </w:numPr>
        <w:ind w:left="0" w:right="0" w:firstLine="709"/>
        <w:jc w:val="both"/>
        <w:shd w:val="clear" w:color="auto" w:fill="ffffff"/>
        <w:widowControl w:val="off"/>
        <w:tabs>
          <w:tab w:val="left" w:pos="992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оформляет акт согласования местоположения границ земельных участков при выполнении комплексных кадастровых работ;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41"/>
        <w:numPr>
          <w:ilvl w:val="0"/>
          <w:numId w:val="28"/>
        </w:numPr>
        <w:ind w:left="0" w:right="0" w:firstLine="709"/>
        <w:jc w:val="both"/>
        <w:shd w:val="clear" w:color="auto" w:fill="ffffff"/>
        <w:widowControl w:val="off"/>
        <w:tabs>
          <w:tab w:val="left" w:pos="992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дает разъяснения заинтересованным лицам о возможности разрешения земельного спора о местоположении границ земельных участков в судебном порядке.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2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Для реализации своих полномочий согласительная комиссия вправе: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1"/>
        <w:numPr>
          <w:ilvl w:val="0"/>
          <w:numId w:val="30"/>
        </w:numPr>
        <w:ind w:left="0" w:right="0" w:firstLine="709"/>
        <w:jc w:val="both"/>
        <w:shd w:val="clear" w:color="auto" w:fill="ffffff"/>
        <w:widowControl w:val="off"/>
        <w:tabs>
          <w:tab w:val="left" w:pos="992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запрашивать в установленном порядке у органов государственной власти, органов местного самоуправления области и организаций необходимую информацию для принятия решений по вопросам, отнесенным</w:t>
        <w:br/>
        <w:t xml:space="preserve">к компетенции согласительной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1"/>
        <w:numPr>
          <w:ilvl w:val="0"/>
          <w:numId w:val="30"/>
        </w:numPr>
        <w:ind w:left="0" w:right="0" w:firstLine="709"/>
        <w:jc w:val="both"/>
        <w:shd w:val="clear" w:color="auto" w:fill="ffffff"/>
        <w:widowControl w:val="off"/>
        <w:tabs>
          <w:tab w:val="left" w:pos="1134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заслушивать на заседаниях согласительной комиссии информацию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органов государственной власти, органов местного самоуправления области и представителей организаций, входящих в состав согласительной комиссии, по вопросам, отнесенным к ее компетенции.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1134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Первое заседание согласительной комиссии проводится не ранее</w:t>
        <w:br/>
        <w:t xml:space="preserve">чем через 35 рабочих дней со дня опубликования, размещения и направления заказчиком комплексных кадастровых работ способами, установленными статьей 42.7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24.07.2007 № 221-ФЗ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извещения</w:t>
        <w:br/>
        <w:t xml:space="preserve">о начале выпол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нения комплексных кадастровых работ.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1134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Заседание согласительной комиссии считается правомочным,</w:t>
        <w:br/>
        <w:t xml:space="preserve">если на нем присутствует две трети от установленного числа ее членов.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1134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Члены согласительной комиссии участвуют в работе согласительной комиссии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лично, делегирование полномочий не допускается.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2" w:leader="none"/>
          <w:tab w:val="left" w:pos="723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10.1. Член согласительной комиссии в случае невозможности</w:t>
        <w:br/>
        <w:t xml:space="preserve">его присутствия на заседании имеет право не менее чем за три дня до даты проведения заседания согласительной комиссии представить секретарю согласительной комиссии свое мнение по рассматриваемым вопросам</w:t>
        <w:br/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письменной форме, которое рассматривается на заседании согласительной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Решения согласительной комиссии принимаются простым большинством голосов присутствующих на ее заседании членов согласительной комиссии путем открытого голосования. При равенстве голосов голос председательствующего на заседании согласительной комиссии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является решающим.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Член согласительной комиссии, имеющий особое мнение</w:t>
        <w:br/>
        <w:t xml:space="preserve">по рассматриваемому на заседании согласительной комиссии вопросу, вправе изложить его в письменном виде. Особое мнение члена согласительной комиссии прилагается к протоколу заседания согласительной комисси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Материалы работы согласительной комиссии подлежат хранению</w:t>
        <w:br/>
        <w:t xml:space="preserve">в органе местного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самоуправления области в соответствии с регламентом работы согласительной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Наличие или отсутствие утвержденного заключения согласительной комиссии не препятствует обращению в суд для разрешения земельных споров о местоп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оложении границ земельных участков, расположенных</w:t>
        <w:br/>
        <w:t xml:space="preserve">на территории, на которой выполняются комплексные кадастр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овые работы.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  \* MERGEFORMAT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7</w:t>
    </w:r>
    <w:r>
      <w:rPr>
        <w:rFonts w:ascii="Times New Roman" w:hAnsi="Times New Roman"/>
        <w:sz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2."/>
      <w:lvlJc w:val="left"/>
      <w:pPr>
        <w:ind w:left="2130" w:hanging="105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49" w:hanging="11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4" w:hanging="4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7"/>
      <w:numFmt w:val="decimal"/>
      <w:isLgl w:val="false"/>
      <w:suff w:val="tab"/>
      <w:lvlText w:val="%1.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8"/>
      <w:numFmt w:val="decimal"/>
      <w:isLgl w:val="false"/>
      <w:suff w:val="tab"/>
      <w:lvlText w:val="%1.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21"/>
  </w:num>
  <w:num w:numId="6">
    <w:abstractNumId w:val="12"/>
  </w:num>
  <w:num w:numId="7">
    <w:abstractNumId w:val="20"/>
  </w:num>
  <w:num w:numId="8">
    <w:abstractNumId w:val="7"/>
  </w:num>
  <w:num w:numId="9">
    <w:abstractNumId w:val="13"/>
  </w:num>
  <w:num w:numId="10">
    <w:abstractNumId w:val="9"/>
  </w:num>
  <w:num w:numId="11">
    <w:abstractNumId w:val="19"/>
  </w:num>
  <w:num w:numId="12">
    <w:abstractNumId w:val="1"/>
  </w:num>
  <w:num w:numId="13">
    <w:abstractNumId w:val="10"/>
  </w:num>
  <w:num w:numId="14">
    <w:abstractNumId w:val="3"/>
  </w:num>
  <w:num w:numId="15">
    <w:abstractNumId w:val="22"/>
  </w:num>
  <w:num w:numId="16">
    <w:abstractNumId w:val="14"/>
  </w:num>
  <w:num w:numId="17">
    <w:abstractNumId w:val="8"/>
  </w:num>
  <w:num w:numId="18">
    <w:abstractNumId w:val="5"/>
  </w:num>
  <w:num w:numId="19">
    <w:abstractNumId w:val="17"/>
  </w:num>
  <w:num w:numId="20">
    <w:abstractNumId w:val="18"/>
  </w:num>
  <w:num w:numId="21">
    <w:abstractNumId w:val="6"/>
  </w:num>
  <w:num w:numId="22">
    <w:abstractNumId w:val="4"/>
  </w:num>
  <w:num w:numId="23">
    <w:abstractNumId w:val="15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Title Char"/>
    <w:basedOn w:val="729"/>
    <w:link w:val="743"/>
    <w:uiPriority w:val="10"/>
    <w:rPr>
      <w:sz w:val="48"/>
      <w:szCs w:val="48"/>
    </w:rPr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  <w:rPr>
      <w:sz w:val="24"/>
      <w:szCs w:val="24"/>
    </w:rPr>
  </w:style>
  <w:style w:type="paragraph" w:styleId="720">
    <w:name w:val="Heading 1"/>
    <w:basedOn w:val="719"/>
    <w:next w:val="719"/>
    <w:link w:val="903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21">
    <w:name w:val="Heading 2"/>
    <w:basedOn w:val="719"/>
    <w:next w:val="719"/>
    <w:link w:val="904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22">
    <w:name w:val="Heading 3"/>
    <w:basedOn w:val="719"/>
    <w:next w:val="719"/>
    <w:link w:val="905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23">
    <w:name w:val="Heading 4"/>
    <w:basedOn w:val="719"/>
    <w:next w:val="719"/>
    <w:link w:val="906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24">
    <w:name w:val="Heading 5"/>
    <w:basedOn w:val="719"/>
    <w:next w:val="719"/>
    <w:link w:val="907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25">
    <w:name w:val="Heading 6"/>
    <w:basedOn w:val="719"/>
    <w:next w:val="719"/>
    <w:link w:val="908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26">
    <w:name w:val="Heading 7"/>
    <w:basedOn w:val="719"/>
    <w:next w:val="719"/>
    <w:link w:val="909"/>
    <w:uiPriority w:val="9"/>
    <w:semiHidden/>
    <w:unhideWhenUsed/>
    <w:qFormat/>
    <w:pPr>
      <w:spacing w:before="240" w:after="60"/>
      <w:outlineLvl w:val="6"/>
    </w:pPr>
  </w:style>
  <w:style w:type="paragraph" w:styleId="727">
    <w:name w:val="Heading 8"/>
    <w:basedOn w:val="719"/>
    <w:next w:val="719"/>
    <w:link w:val="91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728">
    <w:name w:val="Heading 9"/>
    <w:basedOn w:val="719"/>
    <w:next w:val="719"/>
    <w:link w:val="911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</w:pPr>
  </w:style>
  <w:style w:type="paragraph" w:styleId="742">
    <w:name w:val="No Spacing"/>
    <w:basedOn w:val="719"/>
    <w:uiPriority w:val="1"/>
    <w:qFormat/>
    <w:rPr>
      <w:szCs w:val="32"/>
    </w:r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Заголовок Знак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914"/>
    <w:uiPriority w:val="11"/>
    <w:qFormat/>
    <w:pPr>
      <w:jc w:val="center"/>
      <w:spacing w:after="60"/>
      <w:outlineLvl w:val="1"/>
    </w:pPr>
    <w:rPr>
      <w:rFonts w:ascii="Cambria" w:hAnsi="Cambria"/>
    </w:rPr>
  </w:style>
  <w:style w:type="character" w:styleId="746" w:customStyle="1">
    <w:name w:val="Subtitle Char"/>
    <w:uiPriority w:val="11"/>
    <w:rPr>
      <w:sz w:val="24"/>
      <w:szCs w:val="24"/>
    </w:rPr>
  </w:style>
  <w:style w:type="paragraph" w:styleId="747">
    <w:name w:val="Quote"/>
    <w:basedOn w:val="719"/>
    <w:next w:val="719"/>
    <w:link w:val="917"/>
    <w:uiPriority w:val="29"/>
    <w:qFormat/>
    <w:rPr>
      <w:i/>
    </w:rPr>
  </w:style>
  <w:style w:type="character" w:styleId="748" w:customStyle="1">
    <w:name w:val="Quote Char"/>
    <w:uiPriority w:val="29"/>
    <w:rPr>
      <w:i/>
    </w:rPr>
  </w:style>
  <w:style w:type="paragraph" w:styleId="749">
    <w:name w:val="Intense Quote"/>
    <w:basedOn w:val="719"/>
    <w:next w:val="719"/>
    <w:link w:val="918"/>
    <w:uiPriority w:val="30"/>
    <w:qFormat/>
    <w:pPr>
      <w:ind w:left="720" w:right="720"/>
    </w:pPr>
    <w:rPr>
      <w:b/>
      <w:i/>
      <w:szCs w:val="22"/>
    </w:rPr>
  </w:style>
  <w:style w:type="character" w:styleId="750" w:customStyle="1">
    <w:name w:val="Intense Quote Char"/>
    <w:uiPriority w:val="30"/>
    <w:rPr>
      <w:i/>
    </w:rPr>
  </w:style>
  <w:style w:type="paragraph" w:styleId="751">
    <w:name w:val="Header"/>
    <w:basedOn w:val="719"/>
    <w:link w:val="9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2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59"/>
    <w:tblPr/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basedOn w:val="720"/>
    <w:next w:val="719"/>
    <w:uiPriority w:val="39"/>
    <w:semiHidden/>
    <w:unhideWhenUsed/>
    <w:qFormat/>
    <w:pPr>
      <w:outlineLvl w:val="9"/>
    </w:pPr>
  </w:style>
  <w:style w:type="paragraph" w:styleId="900">
    <w:name w:val="table of figures"/>
    <w:basedOn w:val="719"/>
    <w:next w:val="719"/>
    <w:uiPriority w:val="99"/>
    <w:unhideWhenUsed/>
  </w:style>
  <w:style w:type="paragraph" w:styleId="901">
    <w:name w:val="Balloon Text"/>
    <w:basedOn w:val="719"/>
    <w:link w:val="902"/>
    <w:uiPriority w:val="99"/>
    <w:semiHidden/>
    <w:unhideWhenUsed/>
    <w:rPr>
      <w:rFonts w:ascii="Tahoma" w:hAnsi="Tahoma" w:cs="Tahoma"/>
      <w:sz w:val="16"/>
      <w:szCs w:val="16"/>
    </w:rPr>
  </w:style>
  <w:style w:type="character" w:styleId="902" w:customStyle="1">
    <w:name w:val="Текст выноски Знак"/>
    <w:link w:val="901"/>
    <w:uiPriority w:val="99"/>
    <w:semiHidden/>
    <w:rPr>
      <w:rFonts w:ascii="Tahoma" w:hAnsi="Tahoma" w:cs="Tahoma"/>
      <w:sz w:val="16"/>
      <w:szCs w:val="16"/>
    </w:rPr>
  </w:style>
  <w:style w:type="character" w:styleId="903" w:customStyle="1">
    <w:name w:val="Заголовок 1 Знак"/>
    <w:link w:val="720"/>
    <w:uiPriority w:val="9"/>
    <w:rPr>
      <w:rFonts w:ascii="Cambria" w:hAnsi="Cambria" w:eastAsia="Times New Roman"/>
      <w:b/>
      <w:bCs/>
      <w:sz w:val="32"/>
      <w:szCs w:val="32"/>
    </w:rPr>
  </w:style>
  <w:style w:type="character" w:styleId="904" w:customStyle="1">
    <w:name w:val="Заголовок 2 Знак"/>
    <w:link w:val="721"/>
    <w:uiPriority w:val="9"/>
    <w:semiHidden/>
    <w:rPr>
      <w:rFonts w:ascii="Cambria" w:hAnsi="Cambria" w:eastAsia="Times New Roman"/>
      <w:b/>
      <w:bCs/>
      <w:i/>
      <w:iCs/>
      <w:sz w:val="28"/>
      <w:szCs w:val="28"/>
    </w:rPr>
  </w:style>
  <w:style w:type="character" w:styleId="905" w:customStyle="1">
    <w:name w:val="Заголовок 3 Знак"/>
    <w:link w:val="722"/>
    <w:uiPriority w:val="9"/>
    <w:semiHidden/>
    <w:rPr>
      <w:rFonts w:ascii="Cambria" w:hAnsi="Cambria" w:eastAsia="Times New Roman"/>
      <w:b/>
      <w:bCs/>
      <w:sz w:val="26"/>
      <w:szCs w:val="26"/>
    </w:rPr>
  </w:style>
  <w:style w:type="character" w:styleId="906" w:customStyle="1">
    <w:name w:val="Заголовок 4 Знак"/>
    <w:link w:val="723"/>
    <w:uiPriority w:val="9"/>
    <w:semiHidden/>
    <w:rPr>
      <w:b/>
      <w:bCs/>
      <w:sz w:val="28"/>
      <w:szCs w:val="28"/>
    </w:rPr>
  </w:style>
  <w:style w:type="character" w:styleId="907" w:customStyle="1">
    <w:name w:val="Заголовок 5 Знак"/>
    <w:link w:val="724"/>
    <w:uiPriority w:val="9"/>
    <w:semiHidden/>
    <w:rPr>
      <w:b/>
      <w:bCs/>
      <w:i/>
      <w:iCs/>
      <w:sz w:val="26"/>
      <w:szCs w:val="26"/>
    </w:rPr>
  </w:style>
  <w:style w:type="character" w:styleId="908" w:customStyle="1">
    <w:name w:val="Заголовок 6 Знак"/>
    <w:link w:val="725"/>
    <w:uiPriority w:val="9"/>
    <w:semiHidden/>
    <w:rPr>
      <w:b/>
      <w:bCs/>
    </w:rPr>
  </w:style>
  <w:style w:type="character" w:styleId="909" w:customStyle="1">
    <w:name w:val="Заголовок 7 Знак"/>
    <w:link w:val="726"/>
    <w:uiPriority w:val="9"/>
    <w:semiHidden/>
    <w:rPr>
      <w:sz w:val="24"/>
      <w:szCs w:val="24"/>
    </w:rPr>
  </w:style>
  <w:style w:type="character" w:styleId="910" w:customStyle="1">
    <w:name w:val="Заголовок 8 Знак"/>
    <w:link w:val="727"/>
    <w:uiPriority w:val="9"/>
    <w:semiHidden/>
    <w:rPr>
      <w:i/>
      <w:iCs/>
      <w:sz w:val="24"/>
      <w:szCs w:val="24"/>
    </w:rPr>
  </w:style>
  <w:style w:type="character" w:styleId="911" w:customStyle="1">
    <w:name w:val="Заголовок 9 Знак"/>
    <w:link w:val="728"/>
    <w:uiPriority w:val="9"/>
    <w:semiHidden/>
    <w:rPr>
      <w:rFonts w:ascii="Cambria" w:hAnsi="Cambria" w:eastAsia="Times New Roman"/>
    </w:rPr>
  </w:style>
  <w:style w:type="paragraph" w:styleId="912" w:customStyle="1">
    <w:name w:val="Название"/>
    <w:basedOn w:val="719"/>
    <w:next w:val="719"/>
    <w:link w:val="913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913" w:customStyle="1">
    <w:name w:val="Название Знак"/>
    <w:link w:val="912"/>
    <w:uiPriority w:val="10"/>
    <w:rPr>
      <w:rFonts w:ascii="Cambria" w:hAnsi="Cambria" w:eastAsia="Times New Roman"/>
      <w:b/>
      <w:bCs/>
      <w:sz w:val="32"/>
      <w:szCs w:val="32"/>
    </w:rPr>
  </w:style>
  <w:style w:type="character" w:styleId="914" w:customStyle="1">
    <w:name w:val="Подзаголовок Знак"/>
    <w:link w:val="745"/>
    <w:uiPriority w:val="11"/>
    <w:rPr>
      <w:rFonts w:ascii="Cambria" w:hAnsi="Cambria" w:eastAsia="Times New Roman"/>
      <w:sz w:val="24"/>
      <w:szCs w:val="24"/>
    </w:rPr>
  </w:style>
  <w:style w:type="character" w:styleId="915">
    <w:name w:val="Strong"/>
    <w:uiPriority w:val="22"/>
    <w:qFormat/>
    <w:rPr>
      <w:b/>
      <w:bCs/>
    </w:rPr>
  </w:style>
  <w:style w:type="character" w:styleId="916">
    <w:name w:val="Emphasis"/>
    <w:uiPriority w:val="20"/>
    <w:qFormat/>
    <w:rPr>
      <w:rFonts w:ascii="Calibri" w:hAnsi="Calibri"/>
      <w:b/>
      <w:i/>
      <w:iCs/>
    </w:rPr>
  </w:style>
  <w:style w:type="character" w:styleId="917" w:customStyle="1">
    <w:name w:val="Цитата 2 Знак"/>
    <w:link w:val="747"/>
    <w:uiPriority w:val="29"/>
    <w:rPr>
      <w:i/>
      <w:sz w:val="24"/>
      <w:szCs w:val="24"/>
    </w:rPr>
  </w:style>
  <w:style w:type="character" w:styleId="918" w:customStyle="1">
    <w:name w:val="Выделенная цитата Знак"/>
    <w:link w:val="749"/>
    <w:uiPriority w:val="30"/>
    <w:rPr>
      <w:b/>
      <w:i/>
      <w:sz w:val="24"/>
    </w:rPr>
  </w:style>
  <w:style w:type="character" w:styleId="919">
    <w:name w:val="Subtle Emphasis"/>
    <w:uiPriority w:val="19"/>
    <w:qFormat/>
    <w:rPr>
      <w:i/>
      <w:color w:val="5a5a5a"/>
    </w:rPr>
  </w:style>
  <w:style w:type="character" w:styleId="920">
    <w:name w:val="Intense Emphasis"/>
    <w:uiPriority w:val="21"/>
    <w:qFormat/>
    <w:rPr>
      <w:b/>
      <w:i/>
      <w:sz w:val="24"/>
      <w:szCs w:val="24"/>
      <w:u w:val="single"/>
    </w:rPr>
  </w:style>
  <w:style w:type="character" w:styleId="921">
    <w:name w:val="Subtle Reference"/>
    <w:uiPriority w:val="31"/>
    <w:qFormat/>
    <w:rPr>
      <w:sz w:val="24"/>
      <w:szCs w:val="24"/>
      <w:u w:val="single"/>
    </w:rPr>
  </w:style>
  <w:style w:type="character" w:styleId="922">
    <w:name w:val="Intense Reference"/>
    <w:uiPriority w:val="32"/>
    <w:qFormat/>
    <w:rPr>
      <w:b/>
      <w:sz w:val="24"/>
      <w:u w:val="single"/>
    </w:rPr>
  </w:style>
  <w:style w:type="character" w:styleId="923">
    <w:name w:val="Book Title"/>
    <w:uiPriority w:val="33"/>
    <w:qFormat/>
    <w:rPr>
      <w:rFonts w:ascii="Cambria" w:hAnsi="Cambria" w:eastAsia="Times New Roman"/>
      <w:b/>
      <w:i/>
      <w:sz w:val="24"/>
      <w:szCs w:val="24"/>
    </w:rPr>
  </w:style>
  <w:style w:type="character" w:styleId="924" w:customStyle="1">
    <w:name w:val="Верхний колонтитул Знак"/>
    <w:link w:val="751"/>
    <w:uiPriority w:val="99"/>
    <w:rPr>
      <w:sz w:val="24"/>
      <w:szCs w:val="24"/>
    </w:rPr>
  </w:style>
  <w:style w:type="character" w:styleId="925" w:customStyle="1">
    <w:name w:val="Нижний колонтитул Знак"/>
    <w:link w:val="753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43</cp:revision>
  <dcterms:created xsi:type="dcterms:W3CDTF">2016-02-01T03:33:00Z</dcterms:created>
  <dcterms:modified xsi:type="dcterms:W3CDTF">2023-06-13T02:52:33Z</dcterms:modified>
  <cp:version>983040</cp:version>
</cp:coreProperties>
</file>